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Kryminalistyka cyfrowa pomoże w walce z cyberprzestępcami?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Mając świadomość tego, że incydenty związane z bezpieczeństwem cybernetycznym są nieuchronne i prawdopodobnie nieuniknione, przedsiębiorstwa korzystają z pomocy wyspecjalizowanych agencji kryminalistyki cyfrowej. Chcą w ten sposób lepiej zrozumieć metody postępowania przestępców i zwiększyć swoje szanse na wczesne wykrycie ich destrukcyjnej działalności. Aby pomóc w ściganiu cyberprzestępców są również gotowe do posługiwania się „technologicznymi oszustwami”, takimi jak wystawianie przynęty czy rozsiewanie fałszywych danych. Do takich wniosków prowadzą badania przeprowadzone przez Neustar.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ponad połowa specjalistów ds. bezpieczeństwa z regionu EMEA (Europa, Środkowy Wschód i Afryka) i Stanów Zjednoczonych twierdzi, że phishing stanowi wciąż „rosnące zagrożenie”, to 49% z nich jest również zaniepokojonych atakami ukierunkowanymi i atakami DDoS.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Badania przeprowadzone w okresie od stycznia do marca 2019 r. pokazują, że grupy cyberprzestępcze przeniosły swoją uwagę z tradycyjnego celu, którym są usługi płatnicze, na firmy oferujące oprogramowanie jako usługę (ang. Software-as-a-Service – SaaS) i internetowe usługi e-mail, dwie najszybciej rozwijające się branże – zgodnie z raportem o trendach opublikowanym przez Anti-Phishing Working Group. Znacznie zmniejszyły się natomiast ataki na usługi magazynowania danych w chmurze i hostingu witryn internetowych – z 11,3% do zaledwie 2%.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Platformy SaaS i usługi poczty internetowej zyskują na popularności, ponieważ zapewniają biznesowi możliwość działania online i są łatwo dostępne dla każdego, kto ma dostęp do internetu. Niezabezpieczone połączenia Wi-Fi są jednak przyczyną podatności platform pracy grupowej oraz systemów rozliczeniowych na ataki stron trzecich, które wykorzystują dane uzyskane poprzez phishing profilowany. Po zdobyciu niezbędnych informacji hakerzy wysyłają ukierunkowane, dobrze spreparowane e-maile do kadry kierowniczej najwyższego szczebla lub najważniejszych pracowników, próbując w ten sposób przeniknąć do infrastruktury organizacji i przejąć nad nią kontrolę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Mariusz Politowicz, inżynier techniczny Bitdefender z firmy Marken Systemy Antywirusowe</w:t>
      </w:r>
      <w:r>
        <w:rPr>
          <w:rFonts w:ascii="calibri" w:hAnsi="calibri" w:eastAsia="calibri" w:cs="calibri"/>
          <w:sz w:val="24"/>
          <w:szCs w:val="24"/>
        </w:rPr>
        <w:t xml:space="preserve"> (www.bitdefender.pl).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Według analiz przeprowadzonych nad zastosowaniem złośliwym oprogramowania, 36% ataków phishingowych z pierwszego kwartału 2019 r. dotyczyło właśnie tych dwóch kategorii. W tym przypadku celem hakerów jest kradzież poufnych danych osobistych i finansowych, takich jak lokalizacja, preferencje, numery kart kredytowych, szczegóły płatności i adresy e-mail. Liczba ta „wzrosła znacząco z 30% w czwartym kwartale 2018 r. i 20,1% w trzecim kwartale tego roku. Phishing przeciwko SaaS i chmurowej poczcie elektronicznej po raz pierwszy wysunął się na czoło, zdecydowanie wyprzedzając cel, jakim są usługi płatnicze” – mówi raport.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normalnych okolicznościach, szyfrowana wersja protokołu (HTTPS) zabezpieczałaby ruch sieciowy i pozwalała na utrzymanie integralności danych. Jednak, zgodnie z wynikami badań, hakerzy muszą manipulować przy sygnaturach TLS, ponieważ „liczba ataków phishingowych na hostowane strony internetowe, które korzystają z protokołu HTTPS i certyfikatów SSL, osiągnęła nowy poziom”.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Biorąc pod uwagę całkowitą liczbę ataków phishingowych z pierwszego kwartału 2019 r., która gwałtownie wzrosła w porównaniu z dwoma poprzednimi kwartałami, działalność firm może zagrozić prywatności danych ich klientów, jeżeli będą one zwlekać z wdrożeniem właściwej polityki bezpieczeństwa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Mariusz Politowicz, inżynier techniczny Bitdefender z firmy Marken Systemy Antywirusowe</w:t>
      </w:r>
      <w:r>
        <w:rPr>
          <w:rFonts w:ascii="calibri" w:hAnsi="calibri" w:eastAsia="calibri" w:cs="calibri"/>
          <w:sz w:val="24"/>
          <w:szCs w:val="24"/>
        </w:rPr>
        <w:t xml:space="preserve"> (www.bitdefender.pl).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Spośród wszystkich ataków phishingowych, na przykład, 27% wymierzonych było przeciw usługom płatniczym, 16% – przeciwko instytucjom finansowym, a tylko 3% dotyczyło handlu elektronicznego i usług telekomunikacyjnych.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2026-09-30T05:20:09+02:00</dcterms:created>
  <dcterms:modified xsi:type="dcterms:W3CDTF">2026-09-30T05:20:09+02:00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