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Klinika ukarana grzywną 3 mln dolarów w pięć lat po wycieku danych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Sprawa wycieku danych, do którego doszło pięć lat temu, powraca i uderza w centrum medyczne z Tennessee grzywną w wysokości kilku milionów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Touchstone Medical Imaging, amerykańska firma medyczna świadcząca usługi z zakresu diagnostyki obrazowej, została ukarana przez Biuro Praw Obywatelskich (dalej BPO) Departamentu Zdrowia i Opieki Społecznej USA (dalej ZOS) grzywną w wysokości 3 milionów dolarów po tym, jak analitycy doszli do wniosku, że w klinice miały miejsce zaniedbania w ochronie dokumentacji medycznej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komunikatem prasowym ZOS, w maju 2014 r. FBI i BPO powiadomiły Touchstone, że z serwerów firmy miał miejsce wyciek informacji o zdrowiu pacjentów (ang. Patient Health Information – PHI).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„Ten niekontrolowany dostęp do dokumentacji medycznej pozwolił wyszukiwarkom indeksować PHI pacjentów, czego ślady pozostały widoczne w internecie nawet po wyłączeniu serwera” – wynika z raportu.</w:t>
      </w:r>
    </w:p>
    <w:p>
      <w:r>
        <w:rPr>
          <w:rFonts w:ascii="calibri" w:hAnsi="calibri" w:eastAsia="calibri" w:cs="calibri"/>
          <w:sz w:val="24"/>
          <w:szCs w:val="24"/>
        </w:rPr>
        <w:t xml:space="preserve">W obliczu tych oskarżeń Touchston początkowo zaprzeczył, jakoby dokumentację medyczną eksponował na zewnątrz. Jednakże późniejsze dochodzenie ujawniło, że w przypadku ponad 300 tys. rekordów firma faktycznie popełniła błąd, ujawniając w sieci imiona i nazwiska, daty urodzenia, numery ubezpieczenia społecznego i adresy zamieszkania pacjentów.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Podobno Touchstone potrzebował „kilku miesięcy” na samo rozpoczęcie badań wycieku, przez tak długi czas pozostawiając pacjentów narażonych na oszustwa, szantaż i inne rodzaje ryzyka, grożące ze strony hakerów mających dostęp do tych poufnych danych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„Dochodzenie BPO wykazało ponadto, że Touchstone nie przeprowadził starannej i gruntownej analizy ryzyka, jakie wiąże się z potencjalnym wyciekiem poufnych danych, jak również nie dokonał oceny integralności i zabezpieczeń całej elektronicznej dokumentacji medycznej. Klinika nie zawarła też biznesowych umów stowarzyszeniowych ze swoimi kooperantami, takimi jak firma udzielająca wsparcia IT i zewnętrzny dostawca usług z zakresu przetwarzania danych, jak tego wymaga ustawa HIPAA” – napisał ZOS.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Oprócz zapłaty grzywny w wysokości 3 mln USD, Touchstone otrzymał polecenie realizacji „solidnego planu działań naprawczych”, w tym analizy ryzyka w skali całego przedsiębiorstwa. W chwili pisania tego tekstu strona internetowa kliniki była niedostępna.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2025-11-25T23:07:48+01:00</dcterms:created>
  <dcterms:modified xsi:type="dcterms:W3CDTF">2025-11-25T23:07:48+01:00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